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F0" w:rsidRDefault="00456427" w:rsidP="00456427">
      <w:pPr>
        <w:jc w:val="center"/>
        <w:rPr>
          <w:rFonts w:ascii="Times New Roman" w:hAnsi="Times New Roman" w:cs="Times New Roman"/>
          <w:sz w:val="28"/>
          <w:szCs w:val="28"/>
        </w:rPr>
      </w:pPr>
      <w:r>
        <w:rPr>
          <w:rFonts w:ascii="Times New Roman" w:hAnsi="Times New Roman" w:cs="Times New Roman"/>
          <w:sz w:val="28"/>
          <w:szCs w:val="28"/>
        </w:rPr>
        <w:t>Метрологические характеристики приборов учета, т</w:t>
      </w:r>
      <w:r w:rsidR="00D543A2">
        <w:rPr>
          <w:rFonts w:ascii="Times New Roman" w:hAnsi="Times New Roman" w:cs="Times New Roman"/>
          <w:sz w:val="28"/>
          <w:szCs w:val="28"/>
        </w:rPr>
        <w:t>ребования к местам установки, схемы подключения</w:t>
      </w:r>
      <w:r>
        <w:rPr>
          <w:rFonts w:ascii="Times New Roman" w:hAnsi="Times New Roman" w:cs="Times New Roman"/>
          <w:sz w:val="28"/>
          <w:szCs w:val="28"/>
        </w:rPr>
        <w:t xml:space="preserve"> приборов учета электрической энергии.</w:t>
      </w:r>
    </w:p>
    <w:p w:rsidR="00D543A2" w:rsidRDefault="00D543A2" w:rsidP="00D543A2">
      <w:pPr>
        <w:ind w:firstLine="567"/>
        <w:jc w:val="both"/>
        <w:rPr>
          <w:rFonts w:ascii="Times New Roman" w:hAnsi="Times New Roman" w:cs="Times New Roman"/>
          <w:sz w:val="28"/>
          <w:szCs w:val="28"/>
        </w:rPr>
      </w:pPr>
    </w:p>
    <w:p w:rsidR="00DB79C5" w:rsidRDefault="000E494E" w:rsidP="00DB79C5">
      <w:pPr>
        <w:autoSpaceDE w:val="0"/>
        <w:autoSpaceDN w:val="0"/>
        <w:adjustRightInd w:val="0"/>
        <w:spacing w:after="0" w:line="240" w:lineRule="auto"/>
        <w:ind w:firstLine="540"/>
        <w:jc w:val="both"/>
        <w:rPr>
          <w:rFonts w:ascii="Times New Roman" w:hAnsi="Times New Roman" w:cs="Times New Roman"/>
          <w:sz w:val="28"/>
          <w:szCs w:val="28"/>
        </w:rPr>
      </w:pPr>
      <w:r w:rsidRPr="00C16AF7">
        <w:rPr>
          <w:rFonts w:ascii="Times New Roman" w:hAnsi="Times New Roman" w:cs="Times New Roman"/>
          <w:sz w:val="28"/>
          <w:szCs w:val="28"/>
        </w:rPr>
        <w:t>1.</w:t>
      </w:r>
      <w:r>
        <w:rPr>
          <w:rFonts w:ascii="Times New Roman" w:hAnsi="Times New Roman" w:cs="Times New Roman"/>
          <w:sz w:val="28"/>
          <w:szCs w:val="28"/>
        </w:rPr>
        <w:t xml:space="preserve"> </w:t>
      </w:r>
      <w:r w:rsidR="00F62047">
        <w:rPr>
          <w:rFonts w:ascii="Times New Roman" w:hAnsi="Times New Roman" w:cs="Times New Roman"/>
          <w:sz w:val="28"/>
          <w:szCs w:val="28"/>
        </w:rPr>
        <w:t xml:space="preserve">В соответствии с пунктом 138 Постановления Правительства РФ №442 от 04.05.2012 года (далее ППРФ №442), </w:t>
      </w:r>
      <w:r w:rsidR="00DB79C5">
        <w:rPr>
          <w:rFonts w:ascii="Times New Roman" w:hAnsi="Times New Roman" w:cs="Times New Roman"/>
          <w:sz w:val="28"/>
          <w:szCs w:val="28"/>
        </w:rPr>
        <w:t>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DB79C5" w:rsidRDefault="00DB79C5" w:rsidP="00DB79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DB79C5" w:rsidRDefault="000E75A4" w:rsidP="00DB79C5">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основании пункта </w:t>
      </w:r>
      <w:r w:rsidR="00F62047">
        <w:rPr>
          <w:rFonts w:ascii="Times New Roman" w:hAnsi="Times New Roman" w:cs="Times New Roman"/>
          <w:sz w:val="28"/>
          <w:szCs w:val="28"/>
        </w:rPr>
        <w:t>139</w:t>
      </w:r>
      <w:r w:rsidR="002E7622">
        <w:rPr>
          <w:rFonts w:ascii="Times New Roman" w:hAnsi="Times New Roman" w:cs="Times New Roman"/>
          <w:sz w:val="28"/>
          <w:szCs w:val="28"/>
        </w:rPr>
        <w:t xml:space="preserve"> </w:t>
      </w:r>
      <w:r>
        <w:rPr>
          <w:rFonts w:ascii="Times New Roman" w:hAnsi="Times New Roman" w:cs="Times New Roman"/>
          <w:sz w:val="28"/>
          <w:szCs w:val="28"/>
        </w:rPr>
        <w:t>вышеуказанного постановления,</w:t>
      </w:r>
      <w:r w:rsidR="00F62047">
        <w:rPr>
          <w:rFonts w:ascii="Times New Roman" w:hAnsi="Times New Roman" w:cs="Times New Roman"/>
          <w:sz w:val="28"/>
          <w:szCs w:val="28"/>
        </w:rPr>
        <w:t xml:space="preserve"> </w:t>
      </w:r>
      <w:r w:rsidR="00DB79C5">
        <w:rPr>
          <w:rFonts w:ascii="Times New Roman" w:hAnsi="Times New Roman" w:cs="Times New Roman"/>
          <w:sz w:val="28"/>
          <w:szCs w:val="28"/>
        </w:rPr>
        <w:t xml:space="preserve">Для учета электрической энергии, потребляемой потребителями, не указанными </w:t>
      </w:r>
      <w:r w:rsidR="00DB79C5" w:rsidRPr="00DB79C5">
        <w:rPr>
          <w:rFonts w:ascii="Times New Roman" w:hAnsi="Times New Roman" w:cs="Times New Roman"/>
          <w:sz w:val="28"/>
          <w:szCs w:val="28"/>
        </w:rPr>
        <w:t xml:space="preserve">в </w:t>
      </w:r>
      <w:hyperlink r:id="rId6" w:history="1">
        <w:r w:rsidR="00DB79C5" w:rsidRPr="00DB79C5">
          <w:rPr>
            <w:rFonts w:ascii="Times New Roman" w:hAnsi="Times New Roman" w:cs="Times New Roman"/>
            <w:sz w:val="28"/>
            <w:szCs w:val="28"/>
          </w:rPr>
          <w:t>пункте 138</w:t>
        </w:r>
      </w:hyperlink>
      <w:r w:rsidR="00DB79C5">
        <w:rPr>
          <w:rFonts w:ascii="Times New Roman" w:hAnsi="Times New Roman" w:cs="Times New Roman"/>
          <w:sz w:val="28"/>
          <w:szCs w:val="28"/>
        </w:rP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w:t>
      </w:r>
      <w:proofErr w:type="spellStart"/>
      <w:r w:rsidR="00DB79C5">
        <w:rPr>
          <w:rFonts w:ascii="Times New Roman" w:hAnsi="Times New Roman" w:cs="Times New Roman"/>
          <w:sz w:val="28"/>
          <w:szCs w:val="28"/>
        </w:rPr>
        <w:t>кВ</w:t>
      </w:r>
      <w:proofErr w:type="spellEnd"/>
      <w:r w:rsidR="00DB79C5">
        <w:rPr>
          <w:rFonts w:ascii="Times New Roman" w:hAnsi="Times New Roman" w:cs="Times New Roman"/>
          <w:sz w:val="28"/>
          <w:szCs w:val="28"/>
        </w:rPr>
        <w:t xml:space="preserve"> и ниже и класса точности 0,5S и выше - для точек присоединения к объектам электросетевого хозяйства</w:t>
      </w:r>
      <w:proofErr w:type="gramEnd"/>
      <w:r w:rsidR="00DB79C5">
        <w:rPr>
          <w:rFonts w:ascii="Times New Roman" w:hAnsi="Times New Roman" w:cs="Times New Roman"/>
          <w:sz w:val="28"/>
          <w:szCs w:val="28"/>
        </w:rPr>
        <w:t xml:space="preserve"> напряжением 110 </w:t>
      </w:r>
      <w:proofErr w:type="spellStart"/>
      <w:r w:rsidR="00DB79C5">
        <w:rPr>
          <w:rFonts w:ascii="Times New Roman" w:hAnsi="Times New Roman" w:cs="Times New Roman"/>
          <w:sz w:val="28"/>
          <w:szCs w:val="28"/>
        </w:rPr>
        <w:t>кВ</w:t>
      </w:r>
      <w:proofErr w:type="spellEnd"/>
      <w:r w:rsidR="00DB79C5">
        <w:rPr>
          <w:rFonts w:ascii="Times New Roman" w:hAnsi="Times New Roman" w:cs="Times New Roman"/>
          <w:sz w:val="28"/>
          <w:szCs w:val="28"/>
        </w:rPr>
        <w:t xml:space="preserve"> и выше.</w:t>
      </w:r>
    </w:p>
    <w:p w:rsidR="00DB79C5" w:rsidRDefault="00DB79C5" w:rsidP="00DB79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последние 90 дней и более или включенные в систему учета.</w:t>
      </w:r>
    </w:p>
    <w:p w:rsidR="008A78F9" w:rsidRDefault="00B8027D" w:rsidP="00B8027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8A78F9" w:rsidRPr="00B8027D">
        <w:rPr>
          <w:rFonts w:ascii="Times New Roman" w:hAnsi="Times New Roman" w:cs="Times New Roman"/>
          <w:sz w:val="28"/>
          <w:szCs w:val="28"/>
        </w:rPr>
        <w:t xml:space="preserve">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w:t>
      </w:r>
      <w:proofErr w:type="spellStart"/>
      <w:r w:rsidR="008A78F9" w:rsidRPr="00B8027D">
        <w:rPr>
          <w:rFonts w:ascii="Times New Roman" w:hAnsi="Times New Roman" w:cs="Times New Roman"/>
          <w:sz w:val="28"/>
          <w:szCs w:val="28"/>
        </w:rPr>
        <w:t>энергопринимающих</w:t>
      </w:r>
      <w:proofErr w:type="spellEnd"/>
      <w:r w:rsidR="008A78F9" w:rsidRPr="00B8027D">
        <w:rPr>
          <w:rFonts w:ascii="Times New Roman" w:hAnsi="Times New Roman" w:cs="Times New Roman"/>
          <w:sz w:val="28"/>
          <w:szCs w:val="28"/>
        </w:rPr>
        <w:t xml:space="preserve"> устройств таких потребителей в соответствии с </w:t>
      </w:r>
      <w:hyperlink r:id="rId7" w:history="1">
        <w:r w:rsidR="008A78F9" w:rsidRPr="00B8027D">
          <w:rPr>
            <w:rFonts w:ascii="Times New Roman" w:hAnsi="Times New Roman" w:cs="Times New Roman"/>
            <w:sz w:val="28"/>
            <w:szCs w:val="28"/>
          </w:rPr>
          <w:t>Правилами</w:t>
        </w:r>
      </w:hyperlink>
      <w:r w:rsidR="008A78F9" w:rsidRPr="00B8027D">
        <w:rPr>
          <w:rFonts w:ascii="Times New Roman" w:hAnsi="Times New Roman" w:cs="Times New Roman"/>
          <w:sz w:val="28"/>
          <w:szCs w:val="28"/>
        </w:rPr>
        <w:t xml:space="preserve"> </w:t>
      </w:r>
      <w:proofErr w:type="gramStart"/>
      <w:r w:rsidR="008A78F9" w:rsidRPr="00B8027D">
        <w:rPr>
          <w:rFonts w:ascii="Times New Roman" w:hAnsi="Times New Roman" w:cs="Times New Roman"/>
          <w:sz w:val="28"/>
          <w:szCs w:val="28"/>
        </w:rPr>
        <w:t>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w:t>
      </w:r>
      <w:proofErr w:type="gramEnd"/>
      <w:r w:rsidR="008A78F9" w:rsidRPr="00B8027D">
        <w:rPr>
          <w:rFonts w:ascii="Times New Roman" w:hAnsi="Times New Roman" w:cs="Times New Roman"/>
          <w:sz w:val="28"/>
          <w:szCs w:val="28"/>
        </w:rPr>
        <w:t xml:space="preserve"> При этом указанные приборы учета должны иметь класс точности не ниже 2,0, но не более чем на одну ступень ниже класса точности используемых приборов</w:t>
      </w:r>
      <w:r w:rsidR="008A78F9">
        <w:rPr>
          <w:rFonts w:ascii="Times New Roman" w:hAnsi="Times New Roman" w:cs="Times New Roman"/>
          <w:sz w:val="28"/>
          <w:szCs w:val="28"/>
        </w:rPr>
        <w:t xml:space="preserve"> учета, позволяющих определять активную мощность.</w:t>
      </w:r>
    </w:p>
    <w:p w:rsidR="008A78F9" w:rsidRDefault="008A78F9" w:rsidP="008A78F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1F755C" w:rsidRPr="00B8027D" w:rsidRDefault="001F755C" w:rsidP="001F755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Приборы учета электрической энергии, устанавливаемые на фасадах зданий, </w:t>
      </w:r>
      <w:r w:rsidRPr="00B8027D">
        <w:rPr>
          <w:rFonts w:ascii="Times New Roman" w:hAnsi="Times New Roman" w:cs="Times New Roman"/>
          <w:sz w:val="28"/>
          <w:szCs w:val="28"/>
        </w:rPr>
        <w:t xml:space="preserve">опорах линий электропередач, в неотапливаемых помещениях, должны иметь </w:t>
      </w:r>
      <w:r w:rsidRPr="00B8027D">
        <w:rPr>
          <w:rFonts w:ascii="Times New Roman" w:hAnsi="Times New Roman" w:cs="Times New Roman"/>
          <w:sz w:val="28"/>
          <w:szCs w:val="28"/>
        </w:rPr>
        <w:lastRenderedPageBreak/>
        <w:t xml:space="preserve">установленный предельный рабочий диапазон температур </w:t>
      </w:r>
      <w:proofErr w:type="gramStart"/>
      <w:r w:rsidRPr="00B8027D">
        <w:rPr>
          <w:rFonts w:ascii="Times New Roman" w:hAnsi="Times New Roman" w:cs="Times New Roman"/>
          <w:sz w:val="28"/>
          <w:szCs w:val="28"/>
        </w:rPr>
        <w:t>от</w:t>
      </w:r>
      <w:proofErr w:type="gramEnd"/>
      <w:r w:rsidRPr="00B8027D">
        <w:rPr>
          <w:rFonts w:ascii="Times New Roman" w:hAnsi="Times New Roman" w:cs="Times New Roman"/>
          <w:sz w:val="28"/>
          <w:szCs w:val="28"/>
        </w:rPr>
        <w:t xml:space="preserve"> минус 40 </w:t>
      </w:r>
      <w:r w:rsidRPr="00B8027D">
        <w:rPr>
          <w:rFonts w:ascii="Times New Roman" w:hAnsi="Times New Roman" w:cs="Times New Roman"/>
          <w:sz w:val="28"/>
          <w:szCs w:val="28"/>
          <w:vertAlign w:val="superscript"/>
        </w:rPr>
        <w:t>0</w:t>
      </w:r>
      <w:r w:rsidRPr="00B8027D">
        <w:rPr>
          <w:rFonts w:ascii="Times New Roman" w:hAnsi="Times New Roman" w:cs="Times New Roman"/>
          <w:sz w:val="28"/>
          <w:szCs w:val="28"/>
        </w:rPr>
        <w:t xml:space="preserve">С до плюс 40 </w:t>
      </w:r>
      <w:r w:rsidRPr="00B8027D">
        <w:rPr>
          <w:rFonts w:ascii="Times New Roman" w:hAnsi="Times New Roman" w:cs="Times New Roman"/>
          <w:sz w:val="28"/>
          <w:szCs w:val="28"/>
          <w:vertAlign w:val="superscript"/>
        </w:rPr>
        <w:t>0</w:t>
      </w:r>
      <w:r w:rsidRPr="00B8027D">
        <w:rPr>
          <w:rFonts w:ascii="Times New Roman" w:hAnsi="Times New Roman" w:cs="Times New Roman"/>
          <w:sz w:val="28"/>
          <w:szCs w:val="28"/>
        </w:rPr>
        <w:t>С.</w:t>
      </w:r>
    </w:p>
    <w:p w:rsidR="001F755C" w:rsidRPr="00B8027D" w:rsidRDefault="001F755C" w:rsidP="001F755C">
      <w:pPr>
        <w:pStyle w:val="a6"/>
        <w:shd w:val="clear" w:color="auto" w:fill="FFFFFF"/>
        <w:spacing w:before="0" w:beforeAutospacing="0" w:after="0" w:afterAutospacing="0"/>
        <w:ind w:firstLine="567"/>
        <w:jc w:val="both"/>
        <w:rPr>
          <w:color w:val="000000"/>
          <w:sz w:val="28"/>
          <w:szCs w:val="28"/>
        </w:rPr>
      </w:pPr>
      <w:r w:rsidRPr="00B8027D">
        <w:rPr>
          <w:color w:val="000000"/>
          <w:sz w:val="28"/>
          <w:szCs w:val="28"/>
        </w:rPr>
        <w:t xml:space="preserve">Каждый установленный расчетный счетчик должен иметь на винтах, крепящих кожух счетчика, пломбы с клеймом </w:t>
      </w:r>
      <w:proofErr w:type="spellStart"/>
      <w:r w:rsidRPr="00B8027D">
        <w:rPr>
          <w:color w:val="000000"/>
          <w:sz w:val="28"/>
          <w:szCs w:val="28"/>
        </w:rPr>
        <w:t>госповерителя</w:t>
      </w:r>
      <w:proofErr w:type="spellEnd"/>
      <w:r w:rsidRPr="00B8027D">
        <w:rPr>
          <w:color w:val="000000"/>
          <w:sz w:val="28"/>
          <w:szCs w:val="28"/>
        </w:rPr>
        <w:t xml:space="preserve">, а на зажимной крышке - пломбу </w:t>
      </w:r>
      <w:proofErr w:type="spellStart"/>
      <w:r w:rsidRPr="00B8027D">
        <w:rPr>
          <w:color w:val="000000"/>
          <w:sz w:val="28"/>
          <w:szCs w:val="28"/>
        </w:rPr>
        <w:t>энергоснабжающей</w:t>
      </w:r>
      <w:proofErr w:type="spellEnd"/>
      <w:r w:rsidRPr="00B8027D">
        <w:rPr>
          <w:color w:val="000000"/>
          <w:sz w:val="28"/>
          <w:szCs w:val="28"/>
        </w:rPr>
        <w:t xml:space="preserve"> организации.</w:t>
      </w:r>
    </w:p>
    <w:p w:rsidR="001F755C" w:rsidRPr="00B8027D" w:rsidRDefault="001F755C" w:rsidP="001F755C">
      <w:pPr>
        <w:pStyle w:val="a6"/>
        <w:shd w:val="clear" w:color="auto" w:fill="FFFFFF"/>
        <w:spacing w:before="0" w:beforeAutospacing="0" w:after="0" w:afterAutospacing="0"/>
        <w:ind w:firstLine="567"/>
        <w:jc w:val="both"/>
        <w:rPr>
          <w:color w:val="000000"/>
          <w:sz w:val="28"/>
          <w:szCs w:val="28"/>
        </w:rPr>
      </w:pPr>
      <w:r w:rsidRPr="00B8027D">
        <w:rPr>
          <w:color w:val="000000"/>
          <w:sz w:val="28"/>
          <w:szCs w:val="28"/>
        </w:rPr>
        <w:t>На вновь устанавливаемых трехфазных счетчиках должны быть пломбы государственной поверки с давностью не более 12 мес., а на однофазных счетчиках - с давностью не более 2 лет</w:t>
      </w:r>
    </w:p>
    <w:p w:rsidR="001F755C" w:rsidRPr="00B8027D" w:rsidRDefault="001F755C" w:rsidP="001F755C">
      <w:pPr>
        <w:pStyle w:val="a6"/>
        <w:shd w:val="clear" w:color="auto" w:fill="FFFFFF"/>
        <w:spacing w:before="0" w:beforeAutospacing="0" w:after="0" w:afterAutospacing="0"/>
        <w:ind w:firstLine="567"/>
        <w:jc w:val="both"/>
        <w:rPr>
          <w:color w:val="000000"/>
          <w:sz w:val="28"/>
          <w:szCs w:val="28"/>
        </w:rPr>
      </w:pPr>
      <w:r w:rsidRPr="00B8027D">
        <w:rPr>
          <w:color w:val="000000"/>
          <w:sz w:val="28"/>
          <w:szCs w:val="28"/>
        </w:rPr>
        <w:t>Счетчики должны устанавливаться в шкафах, камерах, комплектных распределительных устройствах, на панелях, щитах, в нишах, на стенах, имеющих жесткую конструкцию.</w:t>
      </w:r>
    </w:p>
    <w:p w:rsidR="001F755C" w:rsidRPr="00B8027D" w:rsidRDefault="001F755C" w:rsidP="001F755C">
      <w:pPr>
        <w:pStyle w:val="a6"/>
        <w:shd w:val="clear" w:color="auto" w:fill="FFFFFF"/>
        <w:spacing w:before="0" w:beforeAutospacing="0" w:after="0" w:afterAutospacing="0"/>
        <w:ind w:firstLine="567"/>
        <w:jc w:val="both"/>
        <w:rPr>
          <w:color w:val="000000"/>
          <w:sz w:val="28"/>
          <w:szCs w:val="28"/>
        </w:rPr>
      </w:pPr>
      <w:r w:rsidRPr="00B8027D">
        <w:rPr>
          <w:color w:val="000000"/>
          <w:sz w:val="28"/>
          <w:szCs w:val="28"/>
        </w:rPr>
        <w:t>Допускается крепление счетчиков на деревянных, пластмассовых или металлических щитках.</w:t>
      </w:r>
    </w:p>
    <w:p w:rsidR="001F755C" w:rsidRPr="00B8027D" w:rsidRDefault="001F755C" w:rsidP="001F755C">
      <w:pPr>
        <w:pStyle w:val="a6"/>
        <w:shd w:val="clear" w:color="auto" w:fill="FFFFFF"/>
        <w:spacing w:before="0" w:beforeAutospacing="0" w:after="0" w:afterAutospacing="0"/>
        <w:ind w:firstLine="567"/>
        <w:jc w:val="both"/>
        <w:rPr>
          <w:color w:val="000000"/>
          <w:sz w:val="28"/>
          <w:szCs w:val="28"/>
        </w:rPr>
      </w:pPr>
      <w:r w:rsidRPr="00B8027D">
        <w:rPr>
          <w:color w:val="000000"/>
          <w:sz w:val="28"/>
          <w:szCs w:val="28"/>
        </w:rPr>
        <w:t>Высота от пола до коробки зажимов счетчиков должна быть в пределах 0,8 - 1,7 м. Допускается высота менее 0,8 м, но не менее 0,4 м.</w:t>
      </w:r>
    </w:p>
    <w:p w:rsidR="001F755C" w:rsidRPr="00B8027D" w:rsidRDefault="001F755C" w:rsidP="001F755C">
      <w:pPr>
        <w:pStyle w:val="a6"/>
        <w:shd w:val="clear" w:color="auto" w:fill="FFFFFF"/>
        <w:spacing w:before="0" w:beforeAutospacing="0" w:after="0" w:afterAutospacing="0"/>
        <w:ind w:firstLine="567"/>
        <w:jc w:val="both"/>
        <w:rPr>
          <w:color w:val="000000"/>
          <w:sz w:val="28"/>
          <w:szCs w:val="28"/>
        </w:rPr>
      </w:pPr>
      <w:r w:rsidRPr="00B8027D">
        <w:rPr>
          <w:color w:val="000000"/>
          <w:sz w:val="28"/>
          <w:szCs w:val="28"/>
        </w:rPr>
        <w:t>Должна быть обеспечена возможность удобной замены счетчика и установки его с уклоном не более 1 град. Конструкция его крепления должна обеспечивать возможность установки и съема счетчика с лицевой стороны.</w:t>
      </w:r>
    </w:p>
    <w:p w:rsidR="001F755C" w:rsidRDefault="001F755C" w:rsidP="001F755C">
      <w:pPr>
        <w:autoSpaceDE w:val="0"/>
        <w:autoSpaceDN w:val="0"/>
        <w:adjustRightInd w:val="0"/>
        <w:spacing w:after="0" w:line="240" w:lineRule="auto"/>
        <w:ind w:firstLine="540"/>
        <w:jc w:val="both"/>
        <w:rPr>
          <w:rFonts w:ascii="Times New Roman" w:hAnsi="Times New Roman" w:cs="Times New Roman"/>
          <w:color w:val="000000"/>
          <w:sz w:val="28"/>
          <w:szCs w:val="28"/>
        </w:rPr>
      </w:pPr>
      <w:r w:rsidRPr="00B8027D">
        <w:rPr>
          <w:rFonts w:ascii="Times New Roman" w:hAnsi="Times New Roman" w:cs="Times New Roman"/>
          <w:color w:val="000000"/>
          <w:sz w:val="28"/>
          <w:szCs w:val="28"/>
        </w:rPr>
        <w:t>Для безопасной установки и замены счетчиков в сетях напряжением до 380</w:t>
      </w:r>
      <w:proofErr w:type="gramStart"/>
      <w:r w:rsidRPr="00B8027D">
        <w:rPr>
          <w:rFonts w:ascii="Times New Roman" w:hAnsi="Times New Roman" w:cs="Times New Roman"/>
          <w:color w:val="000000"/>
          <w:sz w:val="28"/>
          <w:szCs w:val="28"/>
        </w:rPr>
        <w:t xml:space="preserve"> В</w:t>
      </w:r>
      <w:proofErr w:type="gramEnd"/>
      <w:r w:rsidRPr="00B8027D">
        <w:rPr>
          <w:rFonts w:ascii="Times New Roman" w:hAnsi="Times New Roman" w:cs="Times New Roman"/>
          <w:color w:val="000000"/>
          <w:sz w:val="28"/>
          <w:szCs w:val="28"/>
        </w:rPr>
        <w:t xml:space="preserve"> должна предусматриваться возможность отключения счетчика установленными до него на расстоянии не более 10 м коммутационным аппаратом или предохранителями. Снятие напряжения должно предусматриваться со всех фаз, присоединяемых к счетчику.</w:t>
      </w:r>
    </w:p>
    <w:p w:rsidR="00AD03D5" w:rsidRPr="00AD03D5" w:rsidRDefault="00AD03D5" w:rsidP="00AD03D5">
      <w:pPr>
        <w:shd w:val="clear" w:color="auto" w:fill="FFFFFF"/>
        <w:spacing w:line="252" w:lineRule="atLeast"/>
        <w:ind w:firstLine="709"/>
        <w:jc w:val="center"/>
        <w:rPr>
          <w:rFonts w:ascii="Times New Roman" w:eastAsia="Times New Roman" w:hAnsi="Times New Roman" w:cs="Times New Roman"/>
          <w:b/>
          <w:bCs/>
          <w:color w:val="000000"/>
          <w:sz w:val="20"/>
          <w:szCs w:val="20"/>
          <w:lang w:eastAsia="ru-RU"/>
        </w:rPr>
      </w:pPr>
      <w:r w:rsidRPr="00AD03D5">
        <w:rPr>
          <w:rFonts w:ascii="Times New Roman" w:eastAsia="Times New Roman" w:hAnsi="Times New Roman" w:cs="Times New Roman"/>
          <w:b/>
          <w:bCs/>
          <w:color w:val="000000"/>
          <w:sz w:val="20"/>
          <w:szCs w:val="20"/>
          <w:lang w:eastAsia="ru-RU"/>
        </w:rPr>
        <w:t>Метрологические характеристики</w:t>
      </w:r>
    </w:p>
    <w:p w:rsidR="00AD03D5" w:rsidRPr="00AD03D5" w:rsidRDefault="00AD03D5" w:rsidP="00AD03D5">
      <w:pPr>
        <w:shd w:val="clear" w:color="auto" w:fill="FFFFFF"/>
        <w:spacing w:line="252" w:lineRule="atLeast"/>
        <w:ind w:firstLine="709"/>
        <w:jc w:val="both"/>
        <w:rPr>
          <w:rFonts w:ascii="Tahoma" w:eastAsia="Times New Roman" w:hAnsi="Tahoma" w:cs="Tahoma"/>
          <w:color w:val="000000"/>
          <w:sz w:val="17"/>
          <w:szCs w:val="17"/>
          <w:lang w:eastAsia="ru-RU"/>
        </w:rPr>
      </w:pPr>
      <w:r w:rsidRPr="00AD03D5">
        <w:rPr>
          <w:rFonts w:ascii="Times New Roman" w:eastAsia="Times New Roman" w:hAnsi="Times New Roman" w:cs="Times New Roman"/>
          <w:b/>
          <w:bCs/>
          <w:color w:val="000000"/>
          <w:sz w:val="20"/>
          <w:szCs w:val="20"/>
          <w:u w:val="single"/>
          <w:lang w:eastAsia="ru-RU"/>
        </w:rPr>
        <w:t>Однофазные:</w:t>
      </w:r>
    </w:p>
    <w:p w:rsidR="00AD03D5" w:rsidRPr="00AD03D5" w:rsidRDefault="00AD03D5" w:rsidP="00AD03D5">
      <w:pPr>
        <w:shd w:val="clear" w:color="auto" w:fill="FFFFFF"/>
        <w:spacing w:line="252" w:lineRule="atLeast"/>
        <w:ind w:firstLine="709"/>
        <w:jc w:val="both"/>
        <w:rPr>
          <w:rFonts w:ascii="Tahoma" w:eastAsia="Times New Roman" w:hAnsi="Tahoma" w:cs="Tahoma"/>
          <w:color w:val="000000"/>
          <w:sz w:val="17"/>
          <w:szCs w:val="17"/>
          <w:lang w:eastAsia="ru-RU"/>
        </w:rPr>
      </w:pPr>
      <w:r w:rsidRPr="00AD03D5">
        <w:rPr>
          <w:rFonts w:ascii="Times New Roman" w:eastAsia="Times New Roman" w:hAnsi="Times New Roman" w:cs="Times New Roman"/>
          <w:color w:val="000000"/>
          <w:sz w:val="20"/>
          <w:szCs w:val="20"/>
          <w:lang w:eastAsia="ru-RU"/>
        </w:rPr>
        <w:t>Номинальное напряжение – 230</w:t>
      </w:r>
      <w:proofErr w:type="gramStart"/>
      <w:r w:rsidRPr="00AD03D5">
        <w:rPr>
          <w:rFonts w:ascii="Times New Roman" w:eastAsia="Times New Roman" w:hAnsi="Times New Roman" w:cs="Times New Roman"/>
          <w:color w:val="000000"/>
          <w:sz w:val="20"/>
          <w:szCs w:val="20"/>
          <w:lang w:eastAsia="ru-RU"/>
        </w:rPr>
        <w:t xml:space="preserve"> В</w:t>
      </w:r>
      <w:proofErr w:type="gramEnd"/>
    </w:p>
    <w:p w:rsidR="00AD03D5" w:rsidRPr="00AD03D5" w:rsidRDefault="00AD03D5" w:rsidP="00AD03D5">
      <w:pPr>
        <w:shd w:val="clear" w:color="auto" w:fill="FFFFFF"/>
        <w:spacing w:line="252" w:lineRule="atLeast"/>
        <w:ind w:firstLine="709"/>
        <w:jc w:val="both"/>
        <w:rPr>
          <w:rFonts w:ascii="Tahoma" w:eastAsia="Times New Roman" w:hAnsi="Tahoma" w:cs="Tahoma"/>
          <w:color w:val="000000"/>
          <w:sz w:val="17"/>
          <w:szCs w:val="17"/>
          <w:lang w:eastAsia="ru-RU"/>
        </w:rPr>
      </w:pPr>
      <w:r w:rsidRPr="00AD03D5">
        <w:rPr>
          <w:rFonts w:ascii="Times New Roman" w:eastAsia="Times New Roman" w:hAnsi="Times New Roman" w:cs="Times New Roman"/>
          <w:color w:val="000000"/>
          <w:sz w:val="20"/>
          <w:szCs w:val="20"/>
          <w:lang w:eastAsia="ru-RU"/>
        </w:rPr>
        <w:t>Номинальный ток – 5(60) или 10(100) А</w:t>
      </w:r>
    </w:p>
    <w:p w:rsidR="00AD03D5" w:rsidRPr="00AD03D5" w:rsidRDefault="00AD03D5" w:rsidP="00AD03D5">
      <w:pPr>
        <w:shd w:val="clear" w:color="auto" w:fill="FFFFFF"/>
        <w:spacing w:line="252" w:lineRule="atLeast"/>
        <w:ind w:firstLine="709"/>
        <w:jc w:val="both"/>
        <w:rPr>
          <w:rFonts w:ascii="Tahoma" w:eastAsia="Times New Roman" w:hAnsi="Tahoma" w:cs="Tahoma"/>
          <w:color w:val="000000"/>
          <w:sz w:val="17"/>
          <w:szCs w:val="17"/>
          <w:lang w:eastAsia="ru-RU"/>
        </w:rPr>
      </w:pPr>
      <w:proofErr w:type="gramStart"/>
      <w:r w:rsidRPr="00AD03D5">
        <w:rPr>
          <w:rFonts w:ascii="Times New Roman" w:eastAsia="Times New Roman" w:hAnsi="Times New Roman" w:cs="Times New Roman"/>
          <w:b/>
          <w:bCs/>
          <w:color w:val="000000"/>
          <w:sz w:val="20"/>
          <w:szCs w:val="20"/>
          <w:u w:val="single"/>
          <w:lang w:eastAsia="ru-RU"/>
        </w:rPr>
        <w:t>Трехфазные прямого включения:</w:t>
      </w:r>
      <w:proofErr w:type="gramEnd"/>
    </w:p>
    <w:p w:rsidR="00AD03D5" w:rsidRPr="00AD03D5" w:rsidRDefault="00AD03D5" w:rsidP="00AD03D5">
      <w:pPr>
        <w:shd w:val="clear" w:color="auto" w:fill="FFFFFF"/>
        <w:spacing w:line="252" w:lineRule="atLeast"/>
        <w:ind w:firstLine="709"/>
        <w:jc w:val="both"/>
        <w:rPr>
          <w:rFonts w:ascii="Tahoma" w:eastAsia="Times New Roman" w:hAnsi="Tahoma" w:cs="Tahoma"/>
          <w:color w:val="000000"/>
          <w:sz w:val="17"/>
          <w:szCs w:val="17"/>
          <w:lang w:eastAsia="ru-RU"/>
        </w:rPr>
      </w:pPr>
      <w:r w:rsidRPr="00AD03D5">
        <w:rPr>
          <w:rFonts w:ascii="Times New Roman" w:eastAsia="Times New Roman" w:hAnsi="Times New Roman" w:cs="Times New Roman"/>
          <w:color w:val="000000"/>
          <w:sz w:val="20"/>
          <w:szCs w:val="20"/>
          <w:lang w:eastAsia="ru-RU"/>
        </w:rPr>
        <w:t>Номинальное напряжение – 3х230/400</w:t>
      </w:r>
      <w:proofErr w:type="gramStart"/>
      <w:r w:rsidRPr="00AD03D5">
        <w:rPr>
          <w:rFonts w:ascii="Times New Roman" w:eastAsia="Times New Roman" w:hAnsi="Times New Roman" w:cs="Times New Roman"/>
          <w:color w:val="000000"/>
          <w:sz w:val="20"/>
          <w:szCs w:val="20"/>
          <w:lang w:eastAsia="ru-RU"/>
        </w:rPr>
        <w:t xml:space="preserve"> В</w:t>
      </w:r>
      <w:proofErr w:type="gramEnd"/>
    </w:p>
    <w:p w:rsidR="00AD03D5" w:rsidRPr="00AD03D5" w:rsidRDefault="00AD03D5" w:rsidP="00AD03D5">
      <w:pPr>
        <w:shd w:val="clear" w:color="auto" w:fill="FFFFFF"/>
        <w:spacing w:line="252" w:lineRule="atLeast"/>
        <w:ind w:firstLine="709"/>
        <w:jc w:val="both"/>
        <w:rPr>
          <w:rFonts w:ascii="Tahoma" w:eastAsia="Times New Roman" w:hAnsi="Tahoma" w:cs="Tahoma"/>
          <w:color w:val="000000"/>
          <w:sz w:val="17"/>
          <w:szCs w:val="17"/>
          <w:lang w:eastAsia="ru-RU"/>
        </w:rPr>
      </w:pPr>
      <w:r w:rsidRPr="00AD03D5">
        <w:rPr>
          <w:rFonts w:ascii="Times New Roman" w:eastAsia="Times New Roman" w:hAnsi="Times New Roman" w:cs="Times New Roman"/>
          <w:color w:val="000000"/>
          <w:sz w:val="20"/>
          <w:szCs w:val="20"/>
          <w:lang w:eastAsia="ru-RU"/>
        </w:rPr>
        <w:t>Номинальный ток – 5(60) или 10(100) А</w:t>
      </w:r>
    </w:p>
    <w:p w:rsidR="00AD03D5" w:rsidRPr="00AD03D5" w:rsidRDefault="00AD03D5" w:rsidP="00AD03D5">
      <w:pPr>
        <w:shd w:val="clear" w:color="auto" w:fill="FFFFFF"/>
        <w:spacing w:line="252" w:lineRule="atLeast"/>
        <w:ind w:firstLine="709"/>
        <w:jc w:val="both"/>
        <w:rPr>
          <w:rFonts w:ascii="Tahoma" w:eastAsia="Times New Roman" w:hAnsi="Tahoma" w:cs="Tahoma"/>
          <w:color w:val="000000"/>
          <w:sz w:val="17"/>
          <w:szCs w:val="17"/>
          <w:lang w:eastAsia="ru-RU"/>
        </w:rPr>
      </w:pPr>
      <w:proofErr w:type="gramStart"/>
      <w:r w:rsidRPr="00AD03D5">
        <w:rPr>
          <w:rFonts w:ascii="Times New Roman" w:eastAsia="Times New Roman" w:hAnsi="Times New Roman" w:cs="Times New Roman"/>
          <w:b/>
          <w:bCs/>
          <w:color w:val="000000"/>
          <w:sz w:val="20"/>
          <w:szCs w:val="20"/>
          <w:u w:val="single"/>
          <w:lang w:eastAsia="ru-RU"/>
        </w:rPr>
        <w:t>Трехфазные трансформаторного включения:</w:t>
      </w:r>
      <w:proofErr w:type="gramEnd"/>
    </w:p>
    <w:p w:rsidR="00AD03D5" w:rsidRPr="00AD03D5" w:rsidRDefault="00AD03D5" w:rsidP="00AD03D5">
      <w:pPr>
        <w:shd w:val="clear" w:color="auto" w:fill="FFFFFF"/>
        <w:spacing w:line="252" w:lineRule="atLeast"/>
        <w:ind w:firstLine="709"/>
        <w:jc w:val="both"/>
        <w:rPr>
          <w:rFonts w:ascii="Tahoma" w:eastAsia="Times New Roman" w:hAnsi="Tahoma" w:cs="Tahoma"/>
          <w:color w:val="000000"/>
          <w:sz w:val="17"/>
          <w:szCs w:val="17"/>
          <w:lang w:eastAsia="ru-RU"/>
        </w:rPr>
      </w:pPr>
      <w:r w:rsidRPr="00AD03D5">
        <w:rPr>
          <w:rFonts w:ascii="Times New Roman" w:eastAsia="Times New Roman" w:hAnsi="Times New Roman" w:cs="Times New Roman"/>
          <w:color w:val="000000"/>
          <w:sz w:val="20"/>
          <w:szCs w:val="20"/>
          <w:lang w:eastAsia="ru-RU"/>
        </w:rPr>
        <w:t>Номинальное напряжение – 3х57,7/100 или 3х230/400</w:t>
      </w:r>
      <w:proofErr w:type="gramStart"/>
      <w:r w:rsidRPr="00AD03D5">
        <w:rPr>
          <w:rFonts w:ascii="Times New Roman" w:eastAsia="Times New Roman" w:hAnsi="Times New Roman" w:cs="Times New Roman"/>
          <w:color w:val="000000"/>
          <w:sz w:val="20"/>
          <w:szCs w:val="20"/>
          <w:lang w:eastAsia="ru-RU"/>
        </w:rPr>
        <w:t xml:space="preserve"> В</w:t>
      </w:r>
      <w:proofErr w:type="gramEnd"/>
    </w:p>
    <w:p w:rsidR="00AD03D5" w:rsidRPr="00AD03D5" w:rsidRDefault="00AD03D5" w:rsidP="00AD03D5">
      <w:pPr>
        <w:shd w:val="clear" w:color="auto" w:fill="FFFFFF"/>
        <w:spacing w:line="252" w:lineRule="atLeast"/>
        <w:ind w:firstLine="709"/>
        <w:jc w:val="both"/>
        <w:rPr>
          <w:rFonts w:ascii="Tahoma" w:eastAsia="Times New Roman" w:hAnsi="Tahoma" w:cs="Tahoma"/>
          <w:color w:val="000000"/>
          <w:sz w:val="17"/>
          <w:szCs w:val="17"/>
          <w:lang w:eastAsia="ru-RU"/>
        </w:rPr>
      </w:pPr>
      <w:r w:rsidRPr="00AD03D5">
        <w:rPr>
          <w:rFonts w:ascii="Times New Roman" w:eastAsia="Times New Roman" w:hAnsi="Times New Roman" w:cs="Times New Roman"/>
          <w:color w:val="000000"/>
          <w:sz w:val="20"/>
          <w:szCs w:val="20"/>
          <w:lang w:eastAsia="ru-RU"/>
        </w:rPr>
        <w:t>Номинальный ток – 5(7,5) или 5(10) А</w:t>
      </w:r>
    </w:p>
    <w:p w:rsidR="00AD03D5" w:rsidRPr="00AD03D5" w:rsidRDefault="00AD03D5" w:rsidP="00AD03D5">
      <w:pPr>
        <w:shd w:val="clear" w:color="auto" w:fill="FFFFFF"/>
        <w:spacing w:line="252" w:lineRule="atLeast"/>
        <w:ind w:left="1134" w:hanging="567"/>
        <w:jc w:val="both"/>
        <w:rPr>
          <w:rFonts w:ascii="Tahoma" w:eastAsia="Times New Roman" w:hAnsi="Tahoma" w:cs="Tahoma"/>
          <w:color w:val="000000"/>
          <w:sz w:val="17"/>
          <w:szCs w:val="17"/>
          <w:lang w:eastAsia="ru-RU"/>
        </w:rPr>
      </w:pPr>
      <w:r w:rsidRPr="00AD03D5">
        <w:rPr>
          <w:rFonts w:ascii="Times New Roman" w:eastAsia="Times New Roman" w:hAnsi="Times New Roman" w:cs="Times New Roman"/>
          <w:color w:val="000000"/>
          <w:sz w:val="20"/>
          <w:szCs w:val="20"/>
          <w:lang w:eastAsia="ru-RU"/>
        </w:rPr>
        <w:t>- приведенные выше метрологические характеристики электросчетчиков могут отличаться в зависимости от модели и завода-изготовителя.</w:t>
      </w:r>
    </w:p>
    <w:p w:rsidR="00193CA6" w:rsidRPr="00193CA6" w:rsidRDefault="000E494E" w:rsidP="00193CA6">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2. </w:t>
      </w:r>
      <w:proofErr w:type="gramStart"/>
      <w:r w:rsidR="002E7622">
        <w:rPr>
          <w:rFonts w:ascii="Times New Roman" w:hAnsi="Times New Roman" w:cs="Times New Roman"/>
          <w:sz w:val="28"/>
          <w:szCs w:val="28"/>
        </w:rPr>
        <w:t xml:space="preserve">Согласно пункту 144 ППРФ №442, </w:t>
      </w:r>
      <w:r w:rsidR="00193CA6" w:rsidRPr="00193CA6">
        <w:rPr>
          <w:rFonts w:ascii="Times New Roman" w:hAnsi="Times New Roman" w:cs="Times New Roman"/>
          <w:sz w:val="28"/>
          <w:szCs w:val="28"/>
        </w:rPr>
        <w:t>п</w:t>
      </w:r>
      <w:r w:rsidR="00193CA6" w:rsidRPr="00193CA6">
        <w:rPr>
          <w:rFonts w:ascii="Times New Roman" w:hAnsi="Times New Roman" w:cs="Times New Roman"/>
          <w:bCs/>
          <w:sz w:val="28"/>
          <w:szCs w:val="28"/>
        </w:rPr>
        <w:t>риборы учета подлежат установке на границах балансовой принадлежности объектов электроэнергетики (</w:t>
      </w:r>
      <w:proofErr w:type="spellStart"/>
      <w:r w:rsidR="00193CA6" w:rsidRPr="00193CA6">
        <w:rPr>
          <w:rFonts w:ascii="Times New Roman" w:hAnsi="Times New Roman" w:cs="Times New Roman"/>
          <w:bCs/>
          <w:sz w:val="28"/>
          <w:szCs w:val="28"/>
        </w:rPr>
        <w:t>энергопринимающих</w:t>
      </w:r>
      <w:proofErr w:type="spellEnd"/>
      <w:r w:rsidR="00193CA6" w:rsidRPr="00193CA6">
        <w:rPr>
          <w:rFonts w:ascii="Times New Roman" w:hAnsi="Times New Roman" w:cs="Times New Roman"/>
          <w:bCs/>
          <w:sz w:val="28"/>
          <w:szCs w:val="28"/>
        </w:rPr>
        <w:t xml:space="preserve">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w:t>
      </w:r>
      <w:proofErr w:type="gramEnd"/>
      <w:r w:rsidR="00193CA6" w:rsidRPr="00193CA6">
        <w:rPr>
          <w:rFonts w:ascii="Times New Roman" w:hAnsi="Times New Roman" w:cs="Times New Roman"/>
          <w:bCs/>
          <w:sz w:val="28"/>
          <w:szCs w:val="28"/>
        </w:rPr>
        <w:t xml:space="preserve"> местам установки приборов учета. При отсутствии технической возможности установки </w:t>
      </w:r>
      <w:r w:rsidR="00193CA6" w:rsidRPr="00193CA6">
        <w:rPr>
          <w:rFonts w:ascii="Times New Roman" w:hAnsi="Times New Roman" w:cs="Times New Roman"/>
          <w:bCs/>
          <w:sz w:val="28"/>
          <w:szCs w:val="28"/>
        </w:rPr>
        <w:lastRenderedPageBreak/>
        <w:t>прибора учета на границе балансовой принадлежности объектов электроэнергетики (</w:t>
      </w:r>
      <w:proofErr w:type="spellStart"/>
      <w:r w:rsidR="00193CA6" w:rsidRPr="00193CA6">
        <w:rPr>
          <w:rFonts w:ascii="Times New Roman" w:hAnsi="Times New Roman" w:cs="Times New Roman"/>
          <w:bCs/>
          <w:sz w:val="28"/>
          <w:szCs w:val="28"/>
        </w:rPr>
        <w:t>энергопринимающих</w:t>
      </w:r>
      <w:proofErr w:type="spellEnd"/>
      <w:r w:rsidR="00193CA6" w:rsidRPr="00193CA6">
        <w:rPr>
          <w:rFonts w:ascii="Times New Roman" w:hAnsi="Times New Roman" w:cs="Times New Roman"/>
          <w:bCs/>
          <w:sz w:val="28"/>
          <w:szCs w:val="28"/>
        </w:rPr>
        <w:t xml:space="preserve">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w:t>
      </w:r>
      <w:proofErr w:type="spellStart"/>
      <w:r w:rsidR="00193CA6" w:rsidRPr="00193CA6">
        <w:rPr>
          <w:rFonts w:ascii="Times New Roman" w:hAnsi="Times New Roman" w:cs="Times New Roman"/>
          <w:bCs/>
          <w:sz w:val="28"/>
          <w:szCs w:val="28"/>
        </w:rPr>
        <w:t>энергопринимающих</w:t>
      </w:r>
      <w:proofErr w:type="spellEnd"/>
      <w:r w:rsidR="00193CA6" w:rsidRPr="00193CA6">
        <w:rPr>
          <w:rFonts w:ascii="Times New Roman" w:hAnsi="Times New Roman" w:cs="Times New Roman"/>
          <w:bCs/>
          <w:sz w:val="28"/>
          <w:szCs w:val="28"/>
        </w:rPr>
        <w:t xml:space="preserve"> устройств) другого смежного субъекта.</w:t>
      </w:r>
    </w:p>
    <w:p w:rsidR="00193CA6" w:rsidRPr="00193CA6" w:rsidRDefault="00193CA6" w:rsidP="00193CA6">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193CA6">
        <w:rPr>
          <w:rFonts w:ascii="Times New Roman" w:hAnsi="Times New Roman" w:cs="Times New Roman"/>
          <w:bCs/>
          <w:sz w:val="28"/>
          <w:szCs w:val="28"/>
        </w:rPr>
        <w:t>В случае если прибор учета, в том числе коллективный (общедомовой) прибор учета в многоквартирном доме, расположен не на границе балансовой принадлежности объектов электроэнергетики (</w:t>
      </w:r>
      <w:proofErr w:type="spellStart"/>
      <w:r w:rsidRPr="00193CA6">
        <w:rPr>
          <w:rFonts w:ascii="Times New Roman" w:hAnsi="Times New Roman" w:cs="Times New Roman"/>
          <w:bCs/>
          <w:sz w:val="28"/>
          <w:szCs w:val="28"/>
        </w:rPr>
        <w:t>энергопринимающих</w:t>
      </w:r>
      <w:proofErr w:type="spellEnd"/>
      <w:r w:rsidRPr="00193CA6">
        <w:rPr>
          <w:rFonts w:ascii="Times New Roman" w:hAnsi="Times New Roman" w:cs="Times New Roman"/>
          <w:bCs/>
          <w:sz w:val="28"/>
          <w:szCs w:val="28"/>
        </w:rPr>
        <w:t xml:space="preserve">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w:t>
      </w:r>
      <w:proofErr w:type="gramEnd"/>
      <w:r w:rsidRPr="00193CA6">
        <w:rPr>
          <w:rFonts w:ascii="Times New Roman" w:hAnsi="Times New Roman" w:cs="Times New Roman"/>
          <w:bCs/>
          <w:sz w:val="28"/>
          <w:szCs w:val="28"/>
        </w:rPr>
        <w:t xml:space="preserve"> от границы балансовой принадлежности объектов электроэнергетики (</w:t>
      </w:r>
      <w:proofErr w:type="spellStart"/>
      <w:r w:rsidRPr="00193CA6">
        <w:rPr>
          <w:rFonts w:ascii="Times New Roman" w:hAnsi="Times New Roman" w:cs="Times New Roman"/>
          <w:bCs/>
          <w:sz w:val="28"/>
          <w:szCs w:val="28"/>
        </w:rPr>
        <w:t>энергопринимающих</w:t>
      </w:r>
      <w:proofErr w:type="spellEnd"/>
      <w:r w:rsidRPr="00193CA6">
        <w:rPr>
          <w:rFonts w:ascii="Times New Roman" w:hAnsi="Times New Roman" w:cs="Times New Roman"/>
          <w:bCs/>
          <w:sz w:val="28"/>
          <w:szCs w:val="28"/>
        </w:rPr>
        <w:t xml:space="preserve">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w:t>
      </w:r>
      <w:proofErr w:type="gramStart"/>
      <w:r w:rsidRPr="00193CA6">
        <w:rPr>
          <w:rFonts w:ascii="Times New Roman" w:hAnsi="Times New Roman" w:cs="Times New Roman"/>
          <w:bCs/>
          <w:sz w:val="28"/>
          <w:szCs w:val="28"/>
        </w:rPr>
        <w:t>Если на дату вступления в силу настоящего документа в договоре энергоснабжения (договоре купли-продажи (поставки) электрической энергии (мощности)),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w:t>
      </w:r>
      <w:proofErr w:type="gramEnd"/>
      <w:r w:rsidRPr="00193CA6">
        <w:rPr>
          <w:rFonts w:ascii="Times New Roman" w:hAnsi="Times New Roman" w:cs="Times New Roman"/>
          <w:bCs/>
          <w:sz w:val="28"/>
          <w:szCs w:val="28"/>
        </w:rPr>
        <w:t xml:space="preserve"> В этом случае такой акт уполномоченного федерального органа используется с первого числа месяца, следующего за месяцем, в котором одна из сторон в письменной форме направила заявление о его использовании.</w:t>
      </w:r>
    </w:p>
    <w:p w:rsidR="00B71F3D" w:rsidRPr="00193CA6" w:rsidRDefault="00B71F3D" w:rsidP="00193CA6">
      <w:pPr>
        <w:autoSpaceDE w:val="0"/>
        <w:autoSpaceDN w:val="0"/>
        <w:adjustRightInd w:val="0"/>
        <w:spacing w:after="0" w:line="240" w:lineRule="auto"/>
        <w:ind w:firstLine="540"/>
        <w:jc w:val="both"/>
        <w:rPr>
          <w:rFonts w:ascii="Times New Roman" w:hAnsi="Times New Roman" w:cs="Times New Roman"/>
          <w:sz w:val="28"/>
          <w:szCs w:val="28"/>
        </w:rPr>
      </w:pPr>
      <w:r w:rsidRPr="00193CA6">
        <w:rPr>
          <w:rFonts w:ascii="Times New Roman" w:hAnsi="Times New Roman" w:cs="Times New Roman"/>
          <w:sz w:val="28"/>
          <w:szCs w:val="28"/>
        </w:rPr>
        <w:br w:type="page"/>
      </w:r>
    </w:p>
    <w:p w:rsidR="002038C2" w:rsidRPr="002038C2" w:rsidRDefault="002038C2" w:rsidP="002038C2">
      <w:pPr>
        <w:jc w:val="center"/>
        <w:rPr>
          <w:sz w:val="28"/>
          <w:szCs w:val="28"/>
        </w:rPr>
      </w:pPr>
      <w:r w:rsidRPr="002038C2">
        <w:rPr>
          <w:sz w:val="28"/>
          <w:szCs w:val="28"/>
        </w:rPr>
        <w:lastRenderedPageBreak/>
        <w:t>Схемы включения счетчиков электрической энергии</w:t>
      </w:r>
    </w:p>
    <w:p w:rsidR="002038C2" w:rsidRDefault="002038C2" w:rsidP="002038C2">
      <w:pPr>
        <w:jc w:val="center"/>
        <w:rPr>
          <w:sz w:val="32"/>
          <w:szCs w:val="32"/>
        </w:rPr>
      </w:pPr>
    </w:p>
    <w:p w:rsidR="002038C2" w:rsidRDefault="002038C2" w:rsidP="002038C2">
      <w:pPr>
        <w:jc w:val="center"/>
        <w:rPr>
          <w:sz w:val="32"/>
          <w:szCs w:val="32"/>
        </w:rPr>
      </w:pPr>
    </w:p>
    <w:p w:rsidR="002038C2" w:rsidRPr="0024099A" w:rsidRDefault="002038C2" w:rsidP="002038C2">
      <w:pPr>
        <w:jc w:val="center"/>
        <w:rPr>
          <w:sz w:val="32"/>
          <w:szCs w:val="32"/>
        </w:rPr>
      </w:pPr>
      <w:r w:rsidRPr="002038C2">
        <w:rPr>
          <w:sz w:val="32"/>
          <w:szCs w:val="32"/>
        </w:rPr>
        <w:t>Схема включения однофаз</w:t>
      </w:r>
      <w:bookmarkStart w:id="0" w:name="_GoBack"/>
      <w:bookmarkEnd w:id="0"/>
      <w:r w:rsidRPr="002038C2">
        <w:rPr>
          <w:sz w:val="32"/>
          <w:szCs w:val="32"/>
        </w:rPr>
        <w:t>ных счетчиков</w:t>
      </w:r>
    </w:p>
    <w:p w:rsidR="002038C2" w:rsidRDefault="002038C2" w:rsidP="002038C2">
      <w:pPr>
        <w:rPr>
          <w:sz w:val="24"/>
          <w:szCs w:val="24"/>
        </w:rPr>
      </w:pPr>
      <w:r>
        <w:rPr>
          <w:noProof/>
          <w:lang w:eastAsia="ru-RU"/>
        </w:rPr>
        <w:drawing>
          <wp:anchor distT="0" distB="0" distL="114300" distR="114300" simplePos="0" relativeHeight="251659264" behindDoc="0" locked="0" layoutInCell="1" allowOverlap="1">
            <wp:simplePos x="0" y="0"/>
            <wp:positionH relativeFrom="column">
              <wp:posOffset>189865</wp:posOffset>
            </wp:positionH>
            <wp:positionV relativeFrom="paragraph">
              <wp:posOffset>220345</wp:posOffset>
            </wp:positionV>
            <wp:extent cx="5230495" cy="2192020"/>
            <wp:effectExtent l="0" t="0" r="8255"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0495" cy="2192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Рисунок 1. </w:t>
      </w:r>
      <w:r w:rsidRPr="00880321">
        <w:rPr>
          <w:sz w:val="24"/>
          <w:szCs w:val="24"/>
        </w:rPr>
        <w:t>Схема включения однофазного счетчика</w:t>
      </w:r>
      <w:r>
        <w:rPr>
          <w:sz w:val="24"/>
          <w:szCs w:val="24"/>
        </w:rPr>
        <w:t>.</w:t>
      </w:r>
    </w:p>
    <w:p w:rsidR="002038C2" w:rsidRDefault="002038C2" w:rsidP="002038C2">
      <w:pPr>
        <w:tabs>
          <w:tab w:val="left" w:pos="2625"/>
        </w:tabs>
        <w:jc w:val="center"/>
        <w:rPr>
          <w:sz w:val="32"/>
          <w:szCs w:val="32"/>
        </w:rPr>
      </w:pPr>
    </w:p>
    <w:p w:rsidR="002038C2" w:rsidRDefault="002038C2" w:rsidP="002038C2">
      <w:pPr>
        <w:tabs>
          <w:tab w:val="left" w:pos="2625"/>
        </w:tabs>
        <w:jc w:val="center"/>
        <w:rPr>
          <w:sz w:val="32"/>
          <w:szCs w:val="32"/>
        </w:rPr>
      </w:pPr>
    </w:p>
    <w:p w:rsidR="002038C2" w:rsidRDefault="002038C2" w:rsidP="002038C2">
      <w:pPr>
        <w:tabs>
          <w:tab w:val="left" w:pos="2625"/>
        </w:tabs>
        <w:jc w:val="center"/>
        <w:rPr>
          <w:sz w:val="32"/>
          <w:szCs w:val="32"/>
        </w:rPr>
      </w:pPr>
    </w:p>
    <w:p w:rsidR="002038C2" w:rsidRPr="002038C2" w:rsidRDefault="002038C2" w:rsidP="002038C2">
      <w:pPr>
        <w:tabs>
          <w:tab w:val="left" w:pos="2625"/>
        </w:tabs>
        <w:jc w:val="center"/>
        <w:rPr>
          <w:sz w:val="32"/>
          <w:szCs w:val="32"/>
        </w:rPr>
      </w:pPr>
      <w:r w:rsidRPr="002038C2">
        <w:rPr>
          <w:noProof/>
          <w:lang w:eastAsia="ru-RU"/>
        </w:rPr>
        <w:drawing>
          <wp:anchor distT="0" distB="0" distL="114300" distR="114300" simplePos="0" relativeHeight="251660288" behindDoc="0" locked="0" layoutInCell="1" allowOverlap="1" wp14:anchorId="4432988F" wp14:editId="6413736C">
            <wp:simplePos x="0" y="0"/>
            <wp:positionH relativeFrom="column">
              <wp:posOffset>815340</wp:posOffset>
            </wp:positionH>
            <wp:positionV relativeFrom="paragraph">
              <wp:posOffset>1012825</wp:posOffset>
            </wp:positionV>
            <wp:extent cx="4190365" cy="2411730"/>
            <wp:effectExtent l="0" t="0" r="635" b="762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0365" cy="2411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38C2">
        <w:rPr>
          <w:sz w:val="32"/>
          <w:szCs w:val="32"/>
        </w:rPr>
        <w:t xml:space="preserve">Схемы включения трехфазных счетчиков в электроустановках </w:t>
      </w:r>
    </w:p>
    <w:p w:rsidR="002038C2" w:rsidRPr="0024099A" w:rsidRDefault="002038C2" w:rsidP="002038C2">
      <w:pPr>
        <w:tabs>
          <w:tab w:val="left" w:pos="2625"/>
        </w:tabs>
        <w:rPr>
          <w:sz w:val="32"/>
          <w:szCs w:val="32"/>
        </w:rPr>
      </w:pPr>
      <w:r w:rsidRPr="002038C2">
        <w:rPr>
          <w:sz w:val="32"/>
          <w:szCs w:val="32"/>
        </w:rPr>
        <w:t>напряжением 380/220 В.</w:t>
      </w:r>
    </w:p>
    <w:p w:rsidR="002038C2" w:rsidRDefault="002038C2" w:rsidP="002038C2">
      <w:pPr>
        <w:rPr>
          <w:sz w:val="24"/>
          <w:szCs w:val="24"/>
        </w:rPr>
      </w:pPr>
      <w:r>
        <w:rPr>
          <w:sz w:val="24"/>
          <w:szCs w:val="24"/>
        </w:rPr>
        <w:t>Рисунок 2. Схема включения трехфазного счетчика.</w:t>
      </w:r>
    </w:p>
    <w:p w:rsidR="002038C2" w:rsidRDefault="002038C2" w:rsidP="002038C2">
      <w:pPr>
        <w:ind w:left="1134" w:hanging="1134"/>
        <w:rPr>
          <w:sz w:val="24"/>
          <w:szCs w:val="24"/>
        </w:rPr>
      </w:pPr>
      <w:r>
        <w:rPr>
          <w:noProof/>
          <w:lang w:eastAsia="ru-RU"/>
        </w:rPr>
        <w:lastRenderedPageBreak/>
        <w:drawing>
          <wp:anchor distT="0" distB="0" distL="114300" distR="114300" simplePos="0" relativeHeight="251661312" behindDoc="0" locked="0" layoutInCell="1" allowOverlap="1">
            <wp:simplePos x="0" y="0"/>
            <wp:positionH relativeFrom="column">
              <wp:posOffset>-137160</wp:posOffset>
            </wp:positionH>
            <wp:positionV relativeFrom="paragraph">
              <wp:posOffset>-253365</wp:posOffset>
            </wp:positionV>
            <wp:extent cx="6210300" cy="6048375"/>
            <wp:effectExtent l="0" t="0" r="0" b="952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60483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Рисунок 3. Схема включения трехфазного счетчика в четырехпроводную сеть с раздельными цепями тока и напряжения.</w:t>
      </w:r>
    </w:p>
    <w:p w:rsidR="002038C2" w:rsidRDefault="002038C2" w:rsidP="002038C2">
      <w:pPr>
        <w:rPr>
          <w:sz w:val="24"/>
          <w:szCs w:val="24"/>
        </w:rPr>
      </w:pPr>
      <w:r>
        <w:rPr>
          <w:noProof/>
          <w:sz w:val="24"/>
          <w:szCs w:val="24"/>
          <w:lang w:eastAsia="ru-RU"/>
        </w:rPr>
        <w:lastRenderedPageBreak/>
        <w:drawing>
          <wp:inline distT="0" distB="0" distL="0" distR="0">
            <wp:extent cx="5779770" cy="5607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9770" cy="5607050"/>
                    </a:xfrm>
                    <a:prstGeom prst="rect">
                      <a:avLst/>
                    </a:prstGeom>
                    <a:noFill/>
                    <a:ln>
                      <a:noFill/>
                    </a:ln>
                  </pic:spPr>
                </pic:pic>
              </a:graphicData>
            </a:graphic>
          </wp:inline>
        </w:drawing>
      </w:r>
    </w:p>
    <w:p w:rsidR="002038C2" w:rsidRDefault="002038C2" w:rsidP="002038C2">
      <w:pPr>
        <w:ind w:left="1134" w:hanging="1134"/>
        <w:rPr>
          <w:sz w:val="24"/>
          <w:szCs w:val="24"/>
        </w:rPr>
      </w:pPr>
      <w:r>
        <w:rPr>
          <w:sz w:val="24"/>
          <w:szCs w:val="24"/>
        </w:rPr>
        <w:t>Рисунок 4. Схема включения трехфазного счетчика в четырехпроводную сеть с испытательной коробкой.</w:t>
      </w:r>
    </w:p>
    <w:p w:rsidR="002038C2" w:rsidRDefault="002038C2" w:rsidP="002038C2">
      <w:pPr>
        <w:jc w:val="center"/>
        <w:rPr>
          <w:sz w:val="32"/>
          <w:szCs w:val="32"/>
          <w:highlight w:val="yellow"/>
        </w:rPr>
      </w:pPr>
    </w:p>
    <w:p w:rsidR="002038C2" w:rsidRDefault="002038C2" w:rsidP="002038C2">
      <w:pPr>
        <w:jc w:val="center"/>
        <w:rPr>
          <w:sz w:val="32"/>
          <w:szCs w:val="32"/>
          <w:highlight w:val="yellow"/>
        </w:rPr>
      </w:pPr>
    </w:p>
    <w:p w:rsidR="002038C2" w:rsidRDefault="002038C2" w:rsidP="002038C2">
      <w:pPr>
        <w:jc w:val="center"/>
        <w:rPr>
          <w:sz w:val="32"/>
          <w:szCs w:val="32"/>
          <w:highlight w:val="yellow"/>
        </w:rPr>
      </w:pPr>
    </w:p>
    <w:p w:rsidR="002038C2" w:rsidRDefault="002038C2" w:rsidP="002038C2">
      <w:pPr>
        <w:jc w:val="center"/>
        <w:rPr>
          <w:sz w:val="32"/>
          <w:szCs w:val="32"/>
          <w:highlight w:val="yellow"/>
        </w:rPr>
      </w:pPr>
    </w:p>
    <w:p w:rsidR="002038C2" w:rsidRDefault="002038C2" w:rsidP="002038C2">
      <w:pPr>
        <w:jc w:val="center"/>
        <w:rPr>
          <w:sz w:val="32"/>
          <w:szCs w:val="32"/>
          <w:highlight w:val="yellow"/>
        </w:rPr>
      </w:pPr>
    </w:p>
    <w:p w:rsidR="002038C2" w:rsidRDefault="002038C2" w:rsidP="002038C2">
      <w:pPr>
        <w:jc w:val="center"/>
        <w:rPr>
          <w:sz w:val="32"/>
          <w:szCs w:val="32"/>
          <w:highlight w:val="yellow"/>
        </w:rPr>
      </w:pPr>
    </w:p>
    <w:p w:rsidR="002038C2" w:rsidRDefault="002038C2" w:rsidP="002038C2">
      <w:pPr>
        <w:jc w:val="center"/>
        <w:rPr>
          <w:sz w:val="32"/>
          <w:szCs w:val="32"/>
          <w:highlight w:val="yellow"/>
        </w:rPr>
      </w:pPr>
    </w:p>
    <w:p w:rsidR="002038C2" w:rsidRDefault="002038C2" w:rsidP="002038C2">
      <w:pPr>
        <w:jc w:val="center"/>
        <w:rPr>
          <w:sz w:val="32"/>
          <w:szCs w:val="32"/>
          <w:highlight w:val="yellow"/>
        </w:rPr>
      </w:pPr>
    </w:p>
    <w:p w:rsidR="002038C2" w:rsidRDefault="002038C2" w:rsidP="002038C2">
      <w:pPr>
        <w:jc w:val="center"/>
        <w:rPr>
          <w:sz w:val="32"/>
          <w:szCs w:val="32"/>
        </w:rPr>
      </w:pPr>
      <w:r w:rsidRPr="002038C2">
        <w:rPr>
          <w:sz w:val="32"/>
          <w:szCs w:val="32"/>
        </w:rPr>
        <w:lastRenderedPageBreak/>
        <w:t>Схемы включения трехфазных счетчиков в электроустановках напряжением выше 1000 В.</w:t>
      </w:r>
    </w:p>
    <w:p w:rsidR="002038C2" w:rsidRDefault="002038C2" w:rsidP="002038C2">
      <w:pPr>
        <w:spacing w:after="0"/>
        <w:ind w:left="-1276" w:right="-568"/>
        <w:jc w:val="center"/>
        <w:rPr>
          <w:sz w:val="32"/>
          <w:szCs w:val="32"/>
        </w:rPr>
      </w:pPr>
      <w:r>
        <w:rPr>
          <w:noProof/>
          <w:sz w:val="32"/>
          <w:szCs w:val="32"/>
          <w:lang w:eastAsia="ru-RU"/>
        </w:rPr>
        <w:drawing>
          <wp:inline distT="0" distB="0" distL="0" distR="0">
            <wp:extent cx="6642100" cy="583120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2100" cy="5831205"/>
                    </a:xfrm>
                    <a:prstGeom prst="rect">
                      <a:avLst/>
                    </a:prstGeom>
                    <a:noFill/>
                    <a:ln>
                      <a:noFill/>
                    </a:ln>
                  </pic:spPr>
                </pic:pic>
              </a:graphicData>
            </a:graphic>
          </wp:inline>
        </w:drawing>
      </w:r>
    </w:p>
    <w:p w:rsidR="002038C2" w:rsidRDefault="002038C2" w:rsidP="002038C2">
      <w:pPr>
        <w:spacing w:after="0"/>
        <w:ind w:left="1134" w:right="-1" w:hanging="1134"/>
        <w:rPr>
          <w:sz w:val="24"/>
          <w:szCs w:val="24"/>
        </w:rPr>
      </w:pPr>
      <w:r w:rsidRPr="00A060C3">
        <w:rPr>
          <w:sz w:val="24"/>
          <w:szCs w:val="24"/>
        </w:rPr>
        <w:t xml:space="preserve">Рисунок </w:t>
      </w:r>
      <w:r>
        <w:rPr>
          <w:sz w:val="24"/>
          <w:szCs w:val="24"/>
        </w:rPr>
        <w:t xml:space="preserve">5. Схема включения трехфазного счетчика в трехпроводную цепь с тремя измерительными </w:t>
      </w:r>
      <w:proofErr w:type="gramStart"/>
      <w:r>
        <w:rPr>
          <w:sz w:val="24"/>
          <w:szCs w:val="24"/>
        </w:rPr>
        <w:t>ТТ</w:t>
      </w:r>
      <w:proofErr w:type="gramEnd"/>
      <w:r>
        <w:rPr>
          <w:sz w:val="24"/>
          <w:szCs w:val="24"/>
        </w:rPr>
        <w:t xml:space="preserve"> и ТН.</w:t>
      </w:r>
    </w:p>
    <w:p w:rsidR="002038C2" w:rsidRDefault="002038C2" w:rsidP="002038C2">
      <w:pPr>
        <w:spacing w:after="0"/>
        <w:ind w:left="1134" w:right="-1" w:hanging="1134"/>
        <w:rPr>
          <w:sz w:val="24"/>
          <w:szCs w:val="24"/>
        </w:rPr>
      </w:pPr>
      <w:r>
        <w:rPr>
          <w:noProof/>
          <w:sz w:val="24"/>
          <w:szCs w:val="24"/>
          <w:lang w:eastAsia="ru-RU"/>
        </w:rPr>
        <w:lastRenderedPageBreak/>
        <w:drawing>
          <wp:inline distT="0" distB="0" distL="0" distR="0">
            <wp:extent cx="5934710" cy="3847465"/>
            <wp:effectExtent l="0" t="0" r="889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710" cy="3847465"/>
                    </a:xfrm>
                    <a:prstGeom prst="rect">
                      <a:avLst/>
                    </a:prstGeom>
                    <a:noFill/>
                    <a:ln>
                      <a:noFill/>
                    </a:ln>
                  </pic:spPr>
                </pic:pic>
              </a:graphicData>
            </a:graphic>
          </wp:inline>
        </w:drawing>
      </w:r>
    </w:p>
    <w:p w:rsidR="002038C2" w:rsidRPr="00D40053" w:rsidRDefault="002038C2" w:rsidP="002038C2">
      <w:pPr>
        <w:rPr>
          <w:sz w:val="24"/>
          <w:szCs w:val="24"/>
        </w:rPr>
      </w:pPr>
      <w:r w:rsidRPr="00A060C3">
        <w:rPr>
          <w:sz w:val="24"/>
          <w:szCs w:val="24"/>
        </w:rPr>
        <w:t xml:space="preserve">Рисунок </w:t>
      </w:r>
      <w:r>
        <w:rPr>
          <w:sz w:val="24"/>
          <w:szCs w:val="24"/>
        </w:rPr>
        <w:t xml:space="preserve">6. Схема включения трехфазного счетчика в трехпроводную цепь с двумя измерительными </w:t>
      </w:r>
      <w:proofErr w:type="gramStart"/>
      <w:r>
        <w:rPr>
          <w:sz w:val="24"/>
          <w:szCs w:val="24"/>
        </w:rPr>
        <w:t>ТТ</w:t>
      </w:r>
      <w:proofErr w:type="gramEnd"/>
      <w:r>
        <w:rPr>
          <w:sz w:val="24"/>
          <w:szCs w:val="24"/>
        </w:rPr>
        <w:t xml:space="preserve"> и ТН</w:t>
      </w:r>
    </w:p>
    <w:p w:rsidR="00466320" w:rsidRDefault="00466320" w:rsidP="002E7622">
      <w:pPr>
        <w:autoSpaceDE w:val="0"/>
        <w:autoSpaceDN w:val="0"/>
        <w:adjustRightInd w:val="0"/>
        <w:spacing w:after="0" w:line="240" w:lineRule="auto"/>
        <w:ind w:firstLine="540"/>
        <w:jc w:val="both"/>
        <w:rPr>
          <w:rFonts w:ascii="Times New Roman" w:hAnsi="Times New Roman" w:cs="Times New Roman"/>
          <w:sz w:val="28"/>
          <w:szCs w:val="28"/>
        </w:rPr>
      </w:pPr>
    </w:p>
    <w:p w:rsidR="000E494E" w:rsidRPr="00D543A2" w:rsidRDefault="000E494E" w:rsidP="000E494E">
      <w:pPr>
        <w:spacing w:after="0" w:line="240" w:lineRule="auto"/>
        <w:ind w:firstLine="567"/>
        <w:jc w:val="both"/>
        <w:rPr>
          <w:rFonts w:ascii="Times New Roman" w:hAnsi="Times New Roman" w:cs="Times New Roman"/>
          <w:sz w:val="28"/>
          <w:szCs w:val="28"/>
        </w:rPr>
      </w:pPr>
    </w:p>
    <w:sectPr w:rsidR="000E494E" w:rsidRPr="00D543A2" w:rsidSect="00466320">
      <w:pgSz w:w="11906" w:h="16838"/>
      <w:pgMar w:top="567"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87"/>
    <w:rsid w:val="00084719"/>
    <w:rsid w:val="000E494E"/>
    <w:rsid w:val="000E75A4"/>
    <w:rsid w:val="00107D21"/>
    <w:rsid w:val="001543B6"/>
    <w:rsid w:val="00193CA6"/>
    <w:rsid w:val="001F755C"/>
    <w:rsid w:val="002038C2"/>
    <w:rsid w:val="002537FF"/>
    <w:rsid w:val="002977C0"/>
    <w:rsid w:val="002E7622"/>
    <w:rsid w:val="00307499"/>
    <w:rsid w:val="00310C63"/>
    <w:rsid w:val="00312322"/>
    <w:rsid w:val="00347C77"/>
    <w:rsid w:val="003952A8"/>
    <w:rsid w:val="003B3AFA"/>
    <w:rsid w:val="00456427"/>
    <w:rsid w:val="00462039"/>
    <w:rsid w:val="00466320"/>
    <w:rsid w:val="00490A4B"/>
    <w:rsid w:val="004F16AE"/>
    <w:rsid w:val="00520912"/>
    <w:rsid w:val="005C0DE7"/>
    <w:rsid w:val="006B6BCA"/>
    <w:rsid w:val="0070726D"/>
    <w:rsid w:val="008201C3"/>
    <w:rsid w:val="008A78F9"/>
    <w:rsid w:val="0090128B"/>
    <w:rsid w:val="009071C4"/>
    <w:rsid w:val="00917979"/>
    <w:rsid w:val="00921487"/>
    <w:rsid w:val="009753AC"/>
    <w:rsid w:val="009A6C22"/>
    <w:rsid w:val="009C6D4E"/>
    <w:rsid w:val="00A241D3"/>
    <w:rsid w:val="00AA6968"/>
    <w:rsid w:val="00AD03D5"/>
    <w:rsid w:val="00B403DE"/>
    <w:rsid w:val="00B546EA"/>
    <w:rsid w:val="00B71F3D"/>
    <w:rsid w:val="00B7386D"/>
    <w:rsid w:val="00B8027D"/>
    <w:rsid w:val="00B83D65"/>
    <w:rsid w:val="00C155F0"/>
    <w:rsid w:val="00C16AF7"/>
    <w:rsid w:val="00C30375"/>
    <w:rsid w:val="00CC6A20"/>
    <w:rsid w:val="00D04EA4"/>
    <w:rsid w:val="00D37D87"/>
    <w:rsid w:val="00D543A2"/>
    <w:rsid w:val="00D65B90"/>
    <w:rsid w:val="00DB79C5"/>
    <w:rsid w:val="00DF22F3"/>
    <w:rsid w:val="00ED2789"/>
    <w:rsid w:val="00ED53F0"/>
    <w:rsid w:val="00F306D8"/>
    <w:rsid w:val="00F364C2"/>
    <w:rsid w:val="00F466BB"/>
    <w:rsid w:val="00F5520B"/>
    <w:rsid w:val="00F62047"/>
    <w:rsid w:val="00F85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94E"/>
    <w:pPr>
      <w:ind w:left="720"/>
      <w:contextualSpacing/>
    </w:pPr>
  </w:style>
  <w:style w:type="paragraph" w:styleId="a4">
    <w:name w:val="Balloon Text"/>
    <w:basedOn w:val="a"/>
    <w:link w:val="a5"/>
    <w:uiPriority w:val="99"/>
    <w:semiHidden/>
    <w:unhideWhenUsed/>
    <w:rsid w:val="005C0D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0DE7"/>
    <w:rPr>
      <w:rFonts w:ascii="Tahoma" w:hAnsi="Tahoma" w:cs="Tahoma"/>
      <w:sz w:val="16"/>
      <w:szCs w:val="16"/>
    </w:rPr>
  </w:style>
  <w:style w:type="paragraph" w:styleId="a6">
    <w:name w:val="Normal (Web)"/>
    <w:basedOn w:val="a"/>
    <w:uiPriority w:val="99"/>
    <w:semiHidden/>
    <w:unhideWhenUsed/>
    <w:rsid w:val="00B802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94E"/>
    <w:pPr>
      <w:ind w:left="720"/>
      <w:contextualSpacing/>
    </w:pPr>
  </w:style>
  <w:style w:type="paragraph" w:styleId="a4">
    <w:name w:val="Balloon Text"/>
    <w:basedOn w:val="a"/>
    <w:link w:val="a5"/>
    <w:uiPriority w:val="99"/>
    <w:semiHidden/>
    <w:unhideWhenUsed/>
    <w:rsid w:val="005C0D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0DE7"/>
    <w:rPr>
      <w:rFonts w:ascii="Tahoma" w:hAnsi="Tahoma" w:cs="Tahoma"/>
      <w:sz w:val="16"/>
      <w:szCs w:val="16"/>
    </w:rPr>
  </w:style>
  <w:style w:type="paragraph" w:styleId="a6">
    <w:name w:val="Normal (Web)"/>
    <w:basedOn w:val="a"/>
    <w:uiPriority w:val="99"/>
    <w:semiHidden/>
    <w:unhideWhenUsed/>
    <w:rsid w:val="00B802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91091">
      <w:bodyDiv w:val="1"/>
      <w:marLeft w:val="0"/>
      <w:marRight w:val="0"/>
      <w:marTop w:val="0"/>
      <w:marBottom w:val="0"/>
      <w:divBdr>
        <w:top w:val="none" w:sz="0" w:space="0" w:color="auto"/>
        <w:left w:val="none" w:sz="0" w:space="0" w:color="auto"/>
        <w:bottom w:val="none" w:sz="0" w:space="0" w:color="auto"/>
        <w:right w:val="none" w:sz="0" w:space="0" w:color="auto"/>
      </w:divBdr>
    </w:div>
    <w:div w:id="212823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hyperlink" Target="consultantplus://offline/ref=1FAA94B05B1F50E60725F1056D5462FF829639300EAEA1DA1D69854888E5C99E13333D5CC1CD7509C8UBN"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24BD68B4C8AED8A9B0C17DB0107E84993CC1BFAA80CCC66DACB6F9A7E86727F2B194F4EA9FDEFF24e4R6N"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75906-B0A0-4CEC-8C1A-A717AAF3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Дима</cp:lastModifiedBy>
  <cp:revision>71</cp:revision>
  <cp:lastPrinted>2012-12-06T11:53:00Z</cp:lastPrinted>
  <dcterms:created xsi:type="dcterms:W3CDTF">2012-12-05T09:36:00Z</dcterms:created>
  <dcterms:modified xsi:type="dcterms:W3CDTF">2015-02-25T10:40:00Z</dcterms:modified>
</cp:coreProperties>
</file>